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39D" w:rsidRPr="001A166A" w:rsidRDefault="002F5CE4" w:rsidP="00DA239D">
      <w:pPr>
        <w:spacing w:after="6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A81D39">
        <w:rPr>
          <w:rFonts w:ascii="Verdana" w:hAnsi="Verdana"/>
          <w:b/>
        </w:rPr>
        <w:t xml:space="preserve">   </w:t>
      </w:r>
      <w:r>
        <w:rPr>
          <w:rFonts w:ascii="Verdana" w:hAnsi="Verdana"/>
          <w:b/>
        </w:rPr>
        <w:t xml:space="preserve"> </w:t>
      </w:r>
      <w:r w:rsidR="00A81D39">
        <w:rPr>
          <w:rFonts w:ascii="Verdana" w:hAnsi="Verdana"/>
          <w:b/>
        </w:rPr>
        <w:t>Chondroitin</w:t>
      </w:r>
      <w:r w:rsidR="00D06B89">
        <w:rPr>
          <w:rFonts w:ascii="Verdana" w:hAnsi="Verdana"/>
          <w:b/>
        </w:rPr>
        <w:t xml:space="preserve"> Sulfate</w:t>
      </w:r>
      <w:r w:rsidR="00DA239D" w:rsidRPr="001A166A">
        <w:rPr>
          <w:rFonts w:ascii="Verdana" w:hAnsi="Verdana"/>
          <w:b/>
        </w:rPr>
        <w:t xml:space="preserve"> Oligosaccharide</w:t>
      </w:r>
    </w:p>
    <w:p w:rsidR="00DA239D" w:rsidRDefault="00DA239D" w:rsidP="00DA239D">
      <w:pPr>
        <w:spacing w:after="60"/>
        <w:rPr>
          <w:rFonts w:ascii="Verdana" w:hAnsi="Verdana"/>
          <w:color w:val="800000"/>
          <w:sz w:val="20"/>
          <w:szCs w:val="20"/>
        </w:rPr>
      </w:pPr>
    </w:p>
    <w:p w:rsidR="00DA239D" w:rsidRPr="00FD5DE5" w:rsidRDefault="00DA239D" w:rsidP="00DA239D">
      <w:pPr>
        <w:spacing w:after="100"/>
        <w:rPr>
          <w:rFonts w:ascii="Verdana" w:hAnsi="Verdana"/>
          <w:sz w:val="18"/>
          <w:szCs w:val="18"/>
        </w:rPr>
      </w:pPr>
      <w:r w:rsidRPr="00FD5DE5">
        <w:rPr>
          <w:rFonts w:ascii="Verdana" w:hAnsi="Verdana"/>
          <w:color w:val="800000"/>
          <w:sz w:val="18"/>
          <w:szCs w:val="18"/>
        </w:rPr>
        <w:t>Catalogue no:</w:t>
      </w:r>
      <w:r w:rsidR="00A81D39">
        <w:rPr>
          <w:rFonts w:ascii="Verdana" w:hAnsi="Verdana"/>
          <w:sz w:val="18"/>
          <w:szCs w:val="18"/>
        </w:rPr>
        <w:tab/>
      </w:r>
      <w:r w:rsidR="00A81D39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>CSO08</w:t>
      </w:r>
    </w:p>
    <w:p w:rsidR="00DA239D" w:rsidRPr="00FD5DE5" w:rsidRDefault="00DA239D" w:rsidP="00DA239D">
      <w:pPr>
        <w:spacing w:after="100"/>
        <w:rPr>
          <w:rFonts w:ascii="Verdana" w:hAnsi="Verdana"/>
          <w:sz w:val="18"/>
          <w:szCs w:val="18"/>
        </w:rPr>
      </w:pPr>
      <w:r w:rsidRPr="00FD5DE5">
        <w:rPr>
          <w:rFonts w:ascii="Verdana" w:hAnsi="Verdana"/>
          <w:color w:val="800000"/>
          <w:sz w:val="18"/>
          <w:szCs w:val="18"/>
        </w:rPr>
        <w:t>Designation:</w:t>
      </w:r>
      <w:r w:rsidRPr="00FD5DE5">
        <w:rPr>
          <w:rFonts w:ascii="Verdana" w:hAnsi="Verdana"/>
          <w:sz w:val="18"/>
          <w:szCs w:val="18"/>
        </w:rPr>
        <w:tab/>
      </w:r>
      <w:r w:rsidRPr="00FD5DE5">
        <w:rPr>
          <w:rFonts w:ascii="Verdana" w:hAnsi="Verdana"/>
          <w:sz w:val="18"/>
          <w:szCs w:val="18"/>
        </w:rPr>
        <w:tab/>
      </w:r>
      <w:r w:rsidR="00A6768A">
        <w:rPr>
          <w:rFonts w:ascii="Verdana" w:hAnsi="Verdana"/>
          <w:sz w:val="18"/>
          <w:szCs w:val="18"/>
        </w:rPr>
        <w:t>Oligosaccharide dp8</w:t>
      </w:r>
      <w:r w:rsidR="00CD6D5E" w:rsidRPr="00FD5DE5">
        <w:rPr>
          <w:rFonts w:ascii="Verdana" w:hAnsi="Verdana"/>
          <w:sz w:val="18"/>
          <w:szCs w:val="18"/>
        </w:rPr>
        <w:t>.</w:t>
      </w:r>
      <w:r w:rsidR="00616A8F">
        <w:rPr>
          <w:rFonts w:ascii="Verdana" w:hAnsi="Verdana"/>
          <w:sz w:val="18"/>
          <w:szCs w:val="18"/>
        </w:rPr>
        <w:t xml:space="preserve"> ammonium salt, </w:t>
      </w:r>
      <w:r w:rsidR="004E390D" w:rsidRPr="00FD5DE5">
        <w:rPr>
          <w:rFonts w:ascii="Verdana" w:hAnsi="Verdana"/>
          <w:sz w:val="18"/>
          <w:szCs w:val="18"/>
        </w:rPr>
        <w:t xml:space="preserve"> Mw</w:t>
      </w:r>
      <w:r w:rsidR="00616A8F">
        <w:rPr>
          <w:rFonts w:ascii="Verdana" w:hAnsi="Verdana"/>
          <w:sz w:val="18"/>
          <w:szCs w:val="18"/>
        </w:rPr>
        <w:t xml:space="preserve"> </w:t>
      </w:r>
      <w:r w:rsidR="00A6768A">
        <w:rPr>
          <w:rFonts w:ascii="Verdana" w:hAnsi="Verdana"/>
          <w:sz w:val="18"/>
          <w:szCs w:val="18"/>
        </w:rPr>
        <w:t>1984</w:t>
      </w:r>
      <w:r w:rsidR="004E390D" w:rsidRPr="00FD5DE5">
        <w:rPr>
          <w:rFonts w:ascii="Verdana" w:hAnsi="Verdana"/>
          <w:sz w:val="18"/>
          <w:szCs w:val="18"/>
        </w:rPr>
        <w:t xml:space="preserve"> </w:t>
      </w:r>
    </w:p>
    <w:p w:rsidR="007F4E7E" w:rsidRPr="0011177B" w:rsidRDefault="007F4E7E" w:rsidP="007F4E7E">
      <w:pPr>
        <w:spacing w:after="100"/>
        <w:rPr>
          <w:rFonts w:ascii="Verdana" w:hAnsi="Verdana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General Description:</w:t>
      </w:r>
      <w:r w:rsidRPr="0011177B">
        <w:rPr>
          <w:rFonts w:ascii="Verdana" w:hAnsi="Verdana"/>
          <w:color w:val="800000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>This oligosaccharide has</w:t>
      </w:r>
      <w:r w:rsidR="001E7C87" w:rsidRPr="0011177B">
        <w:rPr>
          <w:rFonts w:ascii="Verdana" w:hAnsi="Verdana"/>
          <w:sz w:val="18"/>
          <w:szCs w:val="18"/>
        </w:rPr>
        <w:t xml:space="preserve"> been prepared by high</w:t>
      </w:r>
      <w:r w:rsidR="001E7C87">
        <w:rPr>
          <w:rFonts w:ascii="Verdana" w:hAnsi="Verdana"/>
          <w:sz w:val="18"/>
          <w:szCs w:val="18"/>
        </w:rPr>
        <w:t xml:space="preserve"> resolution gel </w:t>
      </w:r>
      <w:r w:rsidR="001E7C87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ab/>
        <w:t xml:space="preserve">filtration of partial chondroitin ABC lyase digestion of mixed </w:t>
      </w:r>
      <w:r w:rsidR="001E7C87">
        <w:rPr>
          <w:rFonts w:ascii="Verdana" w:hAnsi="Verdana"/>
          <w:sz w:val="18"/>
          <w:szCs w:val="18"/>
        </w:rPr>
        <w:br/>
      </w:r>
      <w:r w:rsidR="001E7C87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ab/>
      </w:r>
      <w:r w:rsidR="001E7C87">
        <w:rPr>
          <w:rFonts w:ascii="Verdana" w:hAnsi="Verdana"/>
          <w:sz w:val="18"/>
          <w:szCs w:val="18"/>
        </w:rPr>
        <w:tab/>
        <w:t>isomer chondroitin sulfate</w:t>
      </w:r>
      <w:r>
        <w:rPr>
          <w:rFonts w:ascii="Verdana" w:hAnsi="Verdana"/>
          <w:sz w:val="18"/>
          <w:szCs w:val="18"/>
        </w:rPr>
        <w:t>.</w:t>
      </w:r>
    </w:p>
    <w:p w:rsidR="007F4E7E" w:rsidRPr="0011177B" w:rsidRDefault="007F4E7E" w:rsidP="007F4E7E">
      <w:pPr>
        <w:spacing w:after="100"/>
        <w:ind w:left="2160" w:hanging="216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  <w:t>General formula:</w:t>
      </w:r>
      <w:r w:rsidRPr="0011177B">
        <w:rPr>
          <w:rFonts w:ascii="Verdana" w:hAnsi="Verdana"/>
          <w:sz w:val="18"/>
          <w:szCs w:val="18"/>
        </w:rPr>
        <w:t xml:space="preserve"> </w:t>
      </w:r>
    </w:p>
    <w:p w:rsidR="007F4E7E" w:rsidRPr="0011177B" w:rsidRDefault="00122A40" w:rsidP="007F4E7E">
      <w:pPr>
        <w:spacing w:after="100"/>
        <w:ind w:left="2160"/>
        <w:rPr>
          <w:rFonts w:ascii="Verdana" w:hAnsi="Verdana"/>
          <w:sz w:val="18"/>
          <w:szCs w:val="18"/>
        </w:rPr>
      </w:pPr>
      <w:r w:rsidRPr="00C67B78">
        <w:rPr>
          <w:rFonts w:ascii="Verdana" w:hAnsi="Verdana"/>
          <w:sz w:val="18"/>
          <w:szCs w:val="18"/>
        </w:rPr>
        <w:t>∆HexA - GalNAc, 4S or 6S – (GlcA – GalNAc, 4S or 6S)</w:t>
      </w:r>
      <w:r w:rsidRPr="00C67B78">
        <w:rPr>
          <w:rFonts w:ascii="Verdana" w:hAnsi="Verdana"/>
          <w:sz w:val="18"/>
          <w:szCs w:val="18"/>
          <w:vertAlign w:val="subscript"/>
        </w:rPr>
        <w:t>n</w:t>
      </w:r>
      <w:r w:rsidRPr="00C67B78">
        <w:rPr>
          <w:rFonts w:ascii="Verdana" w:hAnsi="Verdana"/>
          <w:sz w:val="18"/>
          <w:szCs w:val="18"/>
        </w:rPr>
        <w:t xml:space="preserve"> – GlcA-GalNAc, 4S or 6S</w:t>
      </w:r>
      <w:r w:rsidR="007F4E7E">
        <w:rPr>
          <w:rFonts w:ascii="Verdana" w:hAnsi="Verdana"/>
        </w:rPr>
        <w:br/>
      </w:r>
      <w:r w:rsidR="007F4E7E" w:rsidRPr="00AF36DB">
        <w:rPr>
          <w:rFonts w:ascii="Verdana" w:hAnsi="Verdana"/>
          <w:i/>
          <w:sz w:val="18"/>
          <w:szCs w:val="18"/>
        </w:rPr>
        <w:t>where n is number of disaccharide units</w:t>
      </w:r>
      <w:r w:rsidR="00A81D39">
        <w:rPr>
          <w:rFonts w:ascii="Verdana" w:hAnsi="Verdana"/>
          <w:i/>
          <w:sz w:val="18"/>
          <w:szCs w:val="18"/>
        </w:rPr>
        <w:t>; n= 3 in a dp8 oligosaccharide</w:t>
      </w:r>
    </w:p>
    <w:p w:rsidR="007F4E7E" w:rsidRDefault="007F4E7E" w:rsidP="007F4E7E">
      <w:pPr>
        <w:spacing w:after="100"/>
        <w:ind w:left="2160" w:hanging="72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>Uronic acid (HexA) at the non-redu</w:t>
      </w:r>
      <w:r>
        <w:rPr>
          <w:rFonts w:ascii="Verdana" w:hAnsi="Verdana"/>
          <w:sz w:val="18"/>
          <w:szCs w:val="18"/>
        </w:rPr>
        <w:t>cing end of the oligosaccharide</w:t>
      </w:r>
      <w:r w:rsidRPr="0011177B">
        <w:rPr>
          <w:rFonts w:ascii="Verdana" w:hAnsi="Verdana"/>
          <w:sz w:val="18"/>
          <w:szCs w:val="18"/>
        </w:rPr>
        <w:t xml:space="preserve"> has a C4-C5 double bond as a result of the endol</w:t>
      </w:r>
      <w:r>
        <w:rPr>
          <w:rFonts w:ascii="Verdana" w:hAnsi="Verdana"/>
          <w:sz w:val="18"/>
          <w:szCs w:val="18"/>
        </w:rPr>
        <w:t>ytic action of chondroitin ABC lyase.</w:t>
      </w:r>
    </w:p>
    <w:p w:rsidR="007F4E7E" w:rsidRPr="0011177B" w:rsidRDefault="007F4E7E" w:rsidP="007F4E7E">
      <w:pPr>
        <w:spacing w:after="100"/>
        <w:rPr>
          <w:rFonts w:ascii="Verdana" w:hAnsi="Verdana"/>
          <w:color w:val="800000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Quantity:</w:t>
      </w:r>
      <w:r w:rsidRPr="0011177B">
        <w:rPr>
          <w:rFonts w:ascii="Verdana" w:hAnsi="Verdana"/>
          <w:color w:val="800000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1</w:t>
      </w:r>
      <w:r w:rsidRPr="0011177B">
        <w:rPr>
          <w:rFonts w:ascii="Verdana" w:hAnsi="Verdana"/>
          <w:sz w:val="18"/>
          <w:szCs w:val="18"/>
        </w:rPr>
        <w:t>mg per vial</w:t>
      </w:r>
      <w:bookmarkStart w:id="0" w:name="_GoBack"/>
      <w:bookmarkEnd w:id="0"/>
    </w:p>
    <w:p w:rsidR="007F4E7E" w:rsidRPr="0011177B" w:rsidRDefault="007F4E7E" w:rsidP="007F4E7E">
      <w:pPr>
        <w:spacing w:after="100"/>
        <w:rPr>
          <w:rFonts w:ascii="Verdana" w:hAnsi="Verdana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Appearance:</w:t>
      </w:r>
      <w:r w:rsidRPr="0011177B"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ab/>
        <w:t>White/yellow powder</w:t>
      </w:r>
    </w:p>
    <w:p w:rsidR="007F4E7E" w:rsidRPr="0011177B" w:rsidRDefault="007F4E7E" w:rsidP="007F4E7E">
      <w:pPr>
        <w:spacing w:after="100"/>
        <w:rPr>
          <w:rFonts w:ascii="Verdana" w:hAnsi="Verdana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Origin:</w:t>
      </w:r>
      <w:r>
        <w:rPr>
          <w:rFonts w:ascii="Verdana" w:hAnsi="Verdana"/>
          <w:sz w:val="18"/>
          <w:szCs w:val="18"/>
        </w:rPr>
        <w:tab/>
      </w:r>
      <w:r w:rsidR="00D31396">
        <w:rPr>
          <w:rFonts w:ascii="Verdana" w:hAnsi="Verdana"/>
          <w:sz w:val="18"/>
          <w:szCs w:val="18"/>
        </w:rPr>
        <w:tab/>
      </w:r>
      <w:r w:rsidR="00D31396">
        <w:rPr>
          <w:rFonts w:ascii="Verdana" w:hAnsi="Verdana"/>
          <w:sz w:val="18"/>
          <w:szCs w:val="18"/>
        </w:rPr>
        <w:tab/>
        <w:t>Shark</w:t>
      </w:r>
      <w:r w:rsidR="00A81D39">
        <w:rPr>
          <w:rFonts w:ascii="Verdana" w:hAnsi="Verdana"/>
          <w:sz w:val="18"/>
          <w:szCs w:val="18"/>
        </w:rPr>
        <w:t xml:space="preserve"> Chondroitin </w:t>
      </w:r>
      <w:r>
        <w:rPr>
          <w:rFonts w:ascii="Verdana" w:hAnsi="Verdana"/>
          <w:sz w:val="18"/>
          <w:szCs w:val="18"/>
        </w:rPr>
        <w:t>Sulfate</w:t>
      </w:r>
    </w:p>
    <w:p w:rsidR="007F4E7E" w:rsidRPr="0011177B" w:rsidRDefault="007F4E7E" w:rsidP="007F4E7E">
      <w:pPr>
        <w:spacing w:before="60" w:after="60"/>
        <w:rPr>
          <w:rFonts w:ascii="Verdana" w:hAnsi="Verdana" w:cs="Arial"/>
          <w:color w:val="000000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Toxicity and Hazards:</w:t>
      </w:r>
      <w:r>
        <w:rPr>
          <w:rFonts w:ascii="Verdana" w:hAnsi="Verdana"/>
          <w:color w:val="800000"/>
          <w:sz w:val="18"/>
          <w:szCs w:val="18"/>
        </w:rPr>
        <w:tab/>
      </w:r>
      <w:r w:rsidRPr="0011177B">
        <w:rPr>
          <w:rFonts w:ascii="Verdana" w:hAnsi="Verdana"/>
          <w:color w:val="000000"/>
          <w:sz w:val="18"/>
          <w:szCs w:val="18"/>
        </w:rPr>
        <w:t xml:space="preserve">We are not aware of any toxicity </w:t>
      </w:r>
      <w:r>
        <w:rPr>
          <w:rFonts w:ascii="Verdana" w:hAnsi="Verdana"/>
          <w:color w:val="000000"/>
          <w:sz w:val="18"/>
          <w:szCs w:val="18"/>
        </w:rPr>
        <w:t xml:space="preserve">associated with this </w:t>
      </w:r>
      <w:r w:rsidRPr="0011177B">
        <w:rPr>
          <w:rFonts w:ascii="Verdana" w:hAnsi="Verdana"/>
          <w:color w:val="000000"/>
          <w:sz w:val="18"/>
          <w:szCs w:val="18"/>
        </w:rPr>
        <w:t xml:space="preserve">product. In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11177B">
        <w:rPr>
          <w:rFonts w:ascii="Verdana" w:hAnsi="Verdana"/>
          <w:color w:val="000000"/>
          <w:sz w:val="18"/>
          <w:szCs w:val="18"/>
        </w:rPr>
        <w:t>common with good laboratory practice the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1177B">
        <w:rPr>
          <w:rFonts w:ascii="Verdana" w:hAnsi="Verdana"/>
          <w:color w:val="000000"/>
          <w:sz w:val="18"/>
          <w:szCs w:val="18"/>
        </w:rPr>
        <w:t xml:space="preserve">material should only be </w:t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>
        <w:rPr>
          <w:rFonts w:ascii="Verdana" w:hAnsi="Verdana"/>
          <w:color w:val="000000"/>
          <w:sz w:val="18"/>
          <w:szCs w:val="18"/>
        </w:rPr>
        <w:tab/>
      </w:r>
      <w:r w:rsidRPr="0011177B">
        <w:rPr>
          <w:rFonts w:ascii="Verdana" w:hAnsi="Verdana"/>
          <w:color w:val="000000"/>
          <w:sz w:val="18"/>
          <w:szCs w:val="18"/>
        </w:rPr>
        <w:t xml:space="preserve">handled </w:t>
      </w:r>
      <w:r w:rsidRPr="0011177B">
        <w:rPr>
          <w:rFonts w:ascii="Verdana" w:hAnsi="Verdana" w:cs="Arial"/>
          <w:color w:val="000000"/>
          <w:sz w:val="18"/>
          <w:szCs w:val="18"/>
        </w:rPr>
        <w:t>by qualified personnel</w:t>
      </w:r>
      <w:r w:rsidRPr="0011177B">
        <w:rPr>
          <w:rFonts w:ascii="Verdana" w:hAnsi="Verdana"/>
          <w:color w:val="000000"/>
          <w:sz w:val="18"/>
          <w:szCs w:val="18"/>
        </w:rPr>
        <w:t xml:space="preserve"> </w:t>
      </w:r>
      <w:r w:rsidRPr="0011177B">
        <w:rPr>
          <w:rFonts w:ascii="Verdana" w:hAnsi="Verdana" w:cs="Arial"/>
          <w:color w:val="000000"/>
          <w:sz w:val="18"/>
          <w:szCs w:val="18"/>
        </w:rPr>
        <w:t xml:space="preserve">trained in laboratory procedures </w:t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>
        <w:rPr>
          <w:rFonts w:ascii="Verdana" w:hAnsi="Verdana" w:cs="Arial"/>
          <w:color w:val="000000"/>
          <w:sz w:val="18"/>
          <w:szCs w:val="18"/>
        </w:rPr>
        <w:tab/>
      </w:r>
      <w:r w:rsidRPr="0011177B">
        <w:rPr>
          <w:rFonts w:ascii="Verdana" w:hAnsi="Verdana" w:cs="Arial"/>
          <w:color w:val="000000"/>
          <w:sz w:val="18"/>
          <w:szCs w:val="18"/>
        </w:rPr>
        <w:t>and familiar with potential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 w:rsidRPr="0011177B">
        <w:rPr>
          <w:rFonts w:ascii="Verdana" w:hAnsi="Verdana" w:cs="Arial"/>
          <w:color w:val="000000"/>
          <w:sz w:val="18"/>
          <w:szCs w:val="18"/>
        </w:rPr>
        <w:t xml:space="preserve">hazards. </w:t>
      </w:r>
    </w:p>
    <w:p w:rsidR="007F4E7E" w:rsidRPr="0011177B" w:rsidRDefault="007F4E7E" w:rsidP="007F4E7E">
      <w:pPr>
        <w:spacing w:before="60" w:after="6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This product</w:t>
      </w:r>
      <w:r w:rsidRPr="0011177B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is</w:t>
      </w:r>
      <w:r w:rsidRPr="0011177B">
        <w:rPr>
          <w:rFonts w:ascii="Verdana" w:hAnsi="Verdana" w:cs="Arial"/>
          <w:sz w:val="18"/>
          <w:szCs w:val="18"/>
        </w:rPr>
        <w:t xml:space="preserve"> not intended for human </w:t>
      </w:r>
      <w:r>
        <w:rPr>
          <w:rFonts w:ascii="Verdana" w:hAnsi="Verdana" w:cs="Arial"/>
          <w:sz w:val="18"/>
          <w:szCs w:val="18"/>
        </w:rPr>
        <w:t xml:space="preserve">consumption, </w:t>
      </w:r>
      <w:r w:rsidRPr="0011177B">
        <w:rPr>
          <w:rFonts w:ascii="Verdana" w:hAnsi="Verdana" w:cs="Arial"/>
          <w:sz w:val="18"/>
          <w:szCs w:val="18"/>
        </w:rPr>
        <w:t xml:space="preserve">drug use or 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 w:rsidRPr="0011177B">
        <w:rPr>
          <w:rFonts w:ascii="Verdana" w:hAnsi="Verdana" w:cs="Arial"/>
          <w:sz w:val="18"/>
          <w:szCs w:val="18"/>
        </w:rPr>
        <w:t>any form of human experimentation.</w:t>
      </w:r>
    </w:p>
    <w:p w:rsidR="007F4E7E" w:rsidRPr="0011177B" w:rsidRDefault="007F4E7E" w:rsidP="007F4E7E">
      <w:pPr>
        <w:spacing w:after="100"/>
        <w:rPr>
          <w:rFonts w:ascii="Verdana" w:hAnsi="Verdana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Applications:</w:t>
      </w:r>
      <w:r w:rsidRPr="0011177B"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ab/>
        <w:t>Biological/biochemical laboratory research</w:t>
      </w:r>
    </w:p>
    <w:p w:rsidR="007F4E7E" w:rsidRPr="0011177B" w:rsidRDefault="007F4E7E" w:rsidP="007F4E7E">
      <w:pPr>
        <w:spacing w:after="100"/>
        <w:rPr>
          <w:rFonts w:ascii="Verdana" w:hAnsi="Verdana" w:cs="Arial"/>
          <w:sz w:val="18"/>
          <w:szCs w:val="18"/>
        </w:rPr>
      </w:pPr>
      <w:r w:rsidRPr="0011177B">
        <w:rPr>
          <w:rFonts w:ascii="Verdana" w:hAnsi="Verdana"/>
          <w:color w:val="800000"/>
          <w:sz w:val="18"/>
          <w:szCs w:val="18"/>
        </w:rPr>
        <w:t>Storage:</w:t>
      </w:r>
      <w:r w:rsidRPr="0011177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>We recommend that all produ</w:t>
      </w:r>
      <w:r>
        <w:rPr>
          <w:rFonts w:ascii="Verdana" w:hAnsi="Verdana"/>
          <w:sz w:val="18"/>
          <w:szCs w:val="18"/>
        </w:rPr>
        <w:t>cts are stored dry at</w:t>
      </w:r>
      <w:r w:rsidRPr="0011177B">
        <w:rPr>
          <w:rFonts w:ascii="Verdana" w:hAnsi="Verdana"/>
          <w:sz w:val="18"/>
          <w:szCs w:val="18"/>
        </w:rPr>
        <w:t xml:space="preserve"> –</w:t>
      </w:r>
      <w:r>
        <w:rPr>
          <w:rFonts w:ascii="Verdana" w:hAnsi="Verdana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>°</w:t>
      </w:r>
      <w:r>
        <w:rPr>
          <w:rFonts w:ascii="Verdana" w:hAnsi="Verdana"/>
          <w:sz w:val="18"/>
          <w:szCs w:val="18"/>
        </w:rPr>
        <w:t xml:space="preserve">C upon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receipt and that they are </w:t>
      </w:r>
      <w:r w:rsidRPr="0011177B">
        <w:rPr>
          <w:rFonts w:ascii="Verdana" w:hAnsi="Verdana"/>
          <w:sz w:val="18"/>
          <w:szCs w:val="18"/>
        </w:rPr>
        <w:t>allowed to warm to ro</w:t>
      </w:r>
      <w:r>
        <w:rPr>
          <w:rFonts w:ascii="Verdana" w:hAnsi="Verdana"/>
          <w:sz w:val="18"/>
          <w:szCs w:val="18"/>
        </w:rPr>
        <w:t xml:space="preserve">om temperature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before opening. </w:t>
      </w:r>
      <w:r w:rsidRPr="0011177B">
        <w:rPr>
          <w:rFonts w:ascii="Verdana" w:hAnsi="Verdana"/>
          <w:sz w:val="18"/>
          <w:szCs w:val="18"/>
        </w:rPr>
        <w:t>If made up into solutions avoid repeated freeze-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 xml:space="preserve">thawing. Stock solutions should be prepared in appropriate aliquots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11177B">
        <w:rPr>
          <w:rFonts w:ascii="Verdana" w:hAnsi="Verdana"/>
          <w:sz w:val="18"/>
          <w:szCs w:val="18"/>
        </w:rPr>
        <w:t>and stored frozen</w:t>
      </w:r>
      <w:r w:rsidRPr="0011177B">
        <w:rPr>
          <w:sz w:val="18"/>
          <w:szCs w:val="18"/>
        </w:rPr>
        <w:t>.</w:t>
      </w:r>
    </w:p>
    <w:p w:rsidR="007F4E7E" w:rsidRPr="0011177B" w:rsidRDefault="007F4E7E" w:rsidP="007F4E7E">
      <w:pPr>
        <w:pStyle w:val="Heading1"/>
        <w:spacing w:after="100"/>
        <w:rPr>
          <w:rFonts w:ascii="Verdana" w:hAnsi="Verdana"/>
          <w:b w:val="0"/>
          <w:sz w:val="18"/>
          <w:szCs w:val="18"/>
        </w:rPr>
      </w:pPr>
      <w:r w:rsidRPr="0011177B">
        <w:rPr>
          <w:rFonts w:ascii="Verdana" w:hAnsi="Verdana"/>
          <w:b w:val="0"/>
          <w:color w:val="800000"/>
          <w:sz w:val="18"/>
          <w:szCs w:val="18"/>
        </w:rPr>
        <w:t>Warranties:</w:t>
      </w:r>
      <w:r>
        <w:rPr>
          <w:rFonts w:ascii="Verdana" w:hAnsi="Verdana"/>
          <w:b w:val="0"/>
          <w:color w:val="800000"/>
          <w:sz w:val="18"/>
          <w:szCs w:val="18"/>
        </w:rPr>
        <w:tab/>
      </w:r>
      <w:r>
        <w:rPr>
          <w:rFonts w:ascii="Verdana" w:hAnsi="Verdana"/>
          <w:b w:val="0"/>
          <w:color w:val="800000"/>
          <w:sz w:val="18"/>
          <w:szCs w:val="18"/>
        </w:rPr>
        <w:tab/>
      </w:r>
      <w:r w:rsidRPr="0011177B">
        <w:rPr>
          <w:rFonts w:ascii="Verdana" w:hAnsi="Verdana"/>
          <w:b w:val="0"/>
          <w:sz w:val="18"/>
          <w:szCs w:val="18"/>
        </w:rPr>
        <w:t xml:space="preserve">Iduron warrants that its products shall conform to the description </w:t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 w:rsidRPr="0011177B">
        <w:rPr>
          <w:rFonts w:ascii="Verdana" w:hAnsi="Verdana"/>
          <w:b w:val="0"/>
          <w:sz w:val="18"/>
          <w:szCs w:val="18"/>
        </w:rPr>
        <w:t xml:space="preserve">of such products as provided in Iduron’s catalogue. This warranty </w:t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 w:rsidRPr="0011177B">
        <w:rPr>
          <w:rFonts w:ascii="Verdana" w:hAnsi="Verdana"/>
          <w:b w:val="0"/>
          <w:sz w:val="18"/>
          <w:szCs w:val="18"/>
        </w:rPr>
        <w:t xml:space="preserve">is exclusive, and seller makes no other warranty, expressed or </w:t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 w:rsidRPr="0011177B">
        <w:rPr>
          <w:rFonts w:ascii="Verdana" w:hAnsi="Verdana"/>
          <w:b w:val="0"/>
          <w:sz w:val="18"/>
          <w:szCs w:val="18"/>
        </w:rPr>
        <w:t xml:space="preserve">implied, including any implied warranty of merchantability or </w:t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 w:rsidRPr="0011177B">
        <w:rPr>
          <w:rFonts w:ascii="Verdana" w:hAnsi="Verdana"/>
          <w:b w:val="0"/>
          <w:sz w:val="18"/>
          <w:szCs w:val="18"/>
        </w:rPr>
        <w:t>fitness for any particular purpose. See ‘terms and cond</w:t>
      </w:r>
      <w:r>
        <w:rPr>
          <w:rFonts w:ascii="Verdana" w:hAnsi="Verdana"/>
          <w:b w:val="0"/>
          <w:sz w:val="18"/>
          <w:szCs w:val="18"/>
        </w:rPr>
        <w:t xml:space="preserve">itions’ for </w:t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</w:r>
      <w:r>
        <w:rPr>
          <w:rFonts w:ascii="Verdana" w:hAnsi="Verdana"/>
          <w:b w:val="0"/>
          <w:sz w:val="18"/>
          <w:szCs w:val="18"/>
        </w:rPr>
        <w:tab/>
        <w:t xml:space="preserve">further warranty </w:t>
      </w:r>
      <w:r w:rsidRPr="0011177B">
        <w:rPr>
          <w:rFonts w:ascii="Verdana" w:hAnsi="Verdana"/>
          <w:b w:val="0"/>
          <w:sz w:val="18"/>
          <w:szCs w:val="18"/>
        </w:rPr>
        <w:t>Information</w:t>
      </w:r>
      <w:r>
        <w:rPr>
          <w:rFonts w:ascii="Verdana" w:hAnsi="Verdana"/>
          <w:b w:val="0"/>
          <w:sz w:val="18"/>
          <w:szCs w:val="18"/>
        </w:rPr>
        <w:t>.</w:t>
      </w:r>
    </w:p>
    <w:p w:rsidR="00FD7731" w:rsidRDefault="00FD7731" w:rsidP="007F4E7E">
      <w:pPr>
        <w:spacing w:after="100"/>
      </w:pPr>
    </w:p>
    <w:sectPr w:rsidR="00FD7731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F8F" w:rsidRDefault="005E3F8F">
      <w:r>
        <w:separator/>
      </w:r>
    </w:p>
  </w:endnote>
  <w:endnote w:type="continuationSeparator" w:id="0">
    <w:p w:rsidR="005E3F8F" w:rsidRDefault="005E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8A" w:rsidRPr="00165BA0" w:rsidRDefault="00A6768A" w:rsidP="008F4044">
    <w:pPr>
      <w:pStyle w:val="Header"/>
      <w:tabs>
        <w:tab w:val="clear" w:pos="4153"/>
        <w:tab w:val="clear" w:pos="8306"/>
      </w:tabs>
      <w:jc w:val="center"/>
      <w:rPr>
        <w:rFonts w:ascii="Verdana" w:hAnsi="Verdana" w:cs="Microsoft Sans Serif"/>
        <w:sz w:val="20"/>
        <w:szCs w:val="20"/>
      </w:rPr>
    </w:pPr>
    <w:r w:rsidRPr="00165BA0">
      <w:rPr>
        <w:rFonts w:ascii="Verdana" w:hAnsi="Verdana" w:cs="Microsoft Sans Serif"/>
        <w:sz w:val="20"/>
        <w:szCs w:val="20"/>
      </w:rPr>
      <w:t>E</w:t>
    </w:r>
    <w:r w:rsidRPr="00165BA0">
      <w:rPr>
        <w:rFonts w:ascii="Verdana" w:hAnsi="Verdana"/>
        <w:sz w:val="20"/>
        <w:szCs w:val="20"/>
      </w:rPr>
      <w:t>mail:</w:t>
    </w:r>
    <w:smartTag w:uri="urn:schemas-microsoft-com:office:smarttags" w:element="PersonName">
      <w:r w:rsidRPr="00165BA0">
        <w:rPr>
          <w:rFonts w:ascii="Verdana" w:hAnsi="Verdana"/>
          <w:sz w:val="20"/>
          <w:szCs w:val="20"/>
        </w:rPr>
        <w:t>info@iduron.co.uk</w:t>
      </w:r>
    </w:smartTag>
    <w:r>
      <w:rPr>
        <w:rFonts w:ascii="Verdana" w:hAnsi="Verdana"/>
        <w:sz w:val="20"/>
        <w:szCs w:val="20"/>
      </w:rPr>
      <w:t xml:space="preserve"> </w:t>
    </w:r>
    <w:r w:rsidR="008F4044">
      <w:rPr>
        <w:rFonts w:ascii="Verdana" w:hAnsi="Verdana"/>
        <w:sz w:val="20"/>
        <w:szCs w:val="20"/>
      </w:rPr>
      <w:t>web:www.iduron.co.uk tel: +44 (0) 1625 238961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F8F" w:rsidRDefault="005E3F8F">
      <w:r>
        <w:separator/>
      </w:r>
    </w:p>
  </w:footnote>
  <w:footnote w:type="continuationSeparator" w:id="0">
    <w:p w:rsidR="005E3F8F" w:rsidRDefault="005E3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0C3" w:rsidRPr="00A70532" w:rsidRDefault="009D7C34" w:rsidP="00BC40C3">
    <w:pPr>
      <w:pStyle w:val="Header"/>
      <w:tabs>
        <w:tab w:val="clear" w:pos="4153"/>
        <w:tab w:val="clear" w:pos="8306"/>
      </w:tabs>
      <w:rPr>
        <w:rFonts w:ascii="Verdana" w:hAnsi="Verdana" w:cs="Microsoft Sans Serif"/>
        <w:b/>
      </w:rPr>
    </w:pPr>
    <w:r>
      <w:rPr>
        <w:rFonts w:ascii="Verdana" w:hAnsi="Verdana" w:cs="Microsoft Sans Serif"/>
        <w:noProof/>
        <w:color w:val="004644"/>
        <w:sz w:val="16"/>
        <w:szCs w:val="16"/>
        <w:lang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7620</wp:posOffset>
          </wp:positionV>
          <wp:extent cx="1364615" cy="377825"/>
          <wp:effectExtent l="0" t="0" r="6985" b="3175"/>
          <wp:wrapSquare wrapText="bothSides"/>
          <wp:docPr id="2" name="Picture 2" descr="ne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615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0C3" w:rsidRPr="00A70532">
      <w:rPr>
        <w:rFonts w:ascii="Verdana" w:hAnsi="Verdana" w:cs="Microsoft Sans Serif"/>
        <w:b/>
      </w:rPr>
      <w:t>Product Data Sheet</w:t>
    </w:r>
  </w:p>
  <w:p w:rsidR="00BC40C3" w:rsidRDefault="00BC40C3" w:rsidP="00BC40C3">
    <w:pPr>
      <w:pStyle w:val="Header"/>
      <w:tabs>
        <w:tab w:val="clear" w:pos="4153"/>
        <w:tab w:val="clear" w:pos="8306"/>
      </w:tabs>
      <w:rPr>
        <w:rFonts w:ascii="Verdana" w:hAnsi="Verdana" w:cs="Microsoft Sans Serif"/>
        <w:color w:val="004644"/>
        <w:sz w:val="16"/>
        <w:szCs w:val="16"/>
      </w:rPr>
    </w:pPr>
  </w:p>
  <w:p w:rsidR="00BC40C3" w:rsidRDefault="00BC40C3" w:rsidP="00BC40C3">
    <w:pPr>
      <w:pStyle w:val="Header"/>
      <w:tabs>
        <w:tab w:val="clear" w:pos="4153"/>
        <w:tab w:val="clear" w:pos="8306"/>
      </w:tabs>
      <w:rPr>
        <w:rFonts w:ascii="Verdana" w:hAnsi="Verdana" w:cs="Microsoft Sans Serif"/>
        <w:color w:val="004644"/>
        <w:sz w:val="16"/>
        <w:szCs w:val="16"/>
      </w:rPr>
    </w:pPr>
  </w:p>
  <w:p w:rsidR="00BC40C3" w:rsidRDefault="00BC40C3" w:rsidP="00BC40C3">
    <w:pPr>
      <w:pStyle w:val="Header"/>
      <w:tabs>
        <w:tab w:val="clear" w:pos="4153"/>
        <w:tab w:val="clear" w:pos="8306"/>
      </w:tabs>
      <w:rPr>
        <w:rFonts w:ascii="Verdana" w:hAnsi="Verdana" w:cs="Microsoft Sans Serif"/>
        <w:color w:val="004644"/>
        <w:sz w:val="16"/>
        <w:szCs w:val="16"/>
      </w:rPr>
    </w:pPr>
  </w:p>
  <w:p w:rsidR="00A6768A" w:rsidRPr="00BC40C3" w:rsidRDefault="00A6768A" w:rsidP="00BC40C3">
    <w:pPr>
      <w:pStyle w:val="Header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9D"/>
    <w:rsid w:val="00002E42"/>
    <w:rsid w:val="00011FAD"/>
    <w:rsid w:val="0008243E"/>
    <w:rsid w:val="000F0B17"/>
    <w:rsid w:val="00122A40"/>
    <w:rsid w:val="00133106"/>
    <w:rsid w:val="00137E79"/>
    <w:rsid w:val="0014724A"/>
    <w:rsid w:val="001E7C87"/>
    <w:rsid w:val="002F5CE4"/>
    <w:rsid w:val="003910DB"/>
    <w:rsid w:val="003E74A8"/>
    <w:rsid w:val="00432DA9"/>
    <w:rsid w:val="004E390D"/>
    <w:rsid w:val="005D70FF"/>
    <w:rsid w:val="005E3F8F"/>
    <w:rsid w:val="00616A8F"/>
    <w:rsid w:val="006238E8"/>
    <w:rsid w:val="006E04FC"/>
    <w:rsid w:val="007804D3"/>
    <w:rsid w:val="007F4E7E"/>
    <w:rsid w:val="008617BB"/>
    <w:rsid w:val="008A4BA9"/>
    <w:rsid w:val="008F4044"/>
    <w:rsid w:val="00960D62"/>
    <w:rsid w:val="009D5A7E"/>
    <w:rsid w:val="009D7C34"/>
    <w:rsid w:val="00A6768A"/>
    <w:rsid w:val="00A81D39"/>
    <w:rsid w:val="00B578A6"/>
    <w:rsid w:val="00B65B93"/>
    <w:rsid w:val="00BC40C3"/>
    <w:rsid w:val="00CD6D5E"/>
    <w:rsid w:val="00D0033E"/>
    <w:rsid w:val="00D06B89"/>
    <w:rsid w:val="00D31396"/>
    <w:rsid w:val="00DA239D"/>
    <w:rsid w:val="00DB5075"/>
    <w:rsid w:val="00DF5414"/>
    <w:rsid w:val="00F0111C"/>
    <w:rsid w:val="00F02AAA"/>
    <w:rsid w:val="00F93E0D"/>
    <w:rsid w:val="00FB5539"/>
    <w:rsid w:val="00FD5DE5"/>
    <w:rsid w:val="00FD7731"/>
    <w:rsid w:val="00FF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5B76D8-52D6-4569-96A4-76F73C60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39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A239D"/>
    <w:pPr>
      <w:keepNext/>
      <w:outlineLvl w:val="0"/>
    </w:pPr>
    <w:rPr>
      <w:rFonts w:ascii="Arial" w:eastAsia="Times New Roman" w:hAnsi="Arial" w:cs="Arial"/>
      <w:b/>
      <w:bCs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A23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40C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1E7C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7C87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Heparin Oligosaccharide</vt:lpstr>
    </vt:vector>
  </TitlesOfParts>
  <Company>PICR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Heparin Oligosaccharide</dc:title>
  <dc:subject/>
  <dc:creator>mpervez</dc:creator>
  <cp:keywords/>
  <cp:lastModifiedBy>tom gallagher</cp:lastModifiedBy>
  <cp:revision>2</cp:revision>
  <cp:lastPrinted>2010-06-15T12:23:00Z</cp:lastPrinted>
  <dcterms:created xsi:type="dcterms:W3CDTF">2015-09-11T15:09:00Z</dcterms:created>
  <dcterms:modified xsi:type="dcterms:W3CDTF">2015-09-11T15:09:00Z</dcterms:modified>
</cp:coreProperties>
</file>